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AA4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60D612F4">
                      <wp:simplePos x="0" y="0"/>
                      <wp:positionH relativeFrom="column">
                        <wp:posOffset>1814499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B0B4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85pt,17.3pt" to="31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BkKljb3wAAAAkBAAAPAAAAZHJzL2Rvd25y&#10;ZXYueG1sTI9NT8MwDIbvSPyHyEjcWMrWlrU0nRAaF1QNMT7OWWOaavkoTbaVf48RBzjafvz6cbWa&#10;rGFHHEPvnYDrWQIMXetV7zoBry8PV0tgIUqnpPEOBXxhgFV9flbJUvmTe8bjNnaMQlwopQAd41By&#10;HlqNVoaZH9DR7MOPVkYqx46rUZ4o3Bo+T5KcW9k7uqDlgPca2/32YEmj8W9N1mxM9vj5tC7e073m&#10;xVqIy4vp7hZYxCn+wfCjTztQk9POH5wKzAiYL7MbQgUs0hwYAfmiSIHtfhu8rvj/D+pvAA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GQqWNv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ACCF096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0306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1F609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1F609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1F609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16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EC19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HgZZT3QAAAAcBAAAPAAAAZHJzL2Rvd25yZXYu&#10;eG1sTI/BTsMwEETvSPyDtUhcELWpmqpN41SAVPUACNHwAW68JBHxOoqdNOXrWbjAcTSjmTfZdnKt&#10;GLEPjScNdzMFAqn0tqFKw3uxu12BCNGQNa0n1HDGANv88iIzqfUnesPxECvBJRRSo6GOsUulDGWN&#10;zoSZ75DY+/C9M5FlX0nbmxOXu1bOlVpKZxrihdp0+Fhj+XkYnIb97gGfkvNQLWyyL27G4vnl63Wl&#10;9fXVdL8BEXGKf2H4wWd0yJnp6AeyQbQalnPF6FHDIgHB/lop/nb81TLP5H/+/B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HgZZT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34733F" w:rsidRPr="002B283C" w14:paraId="29A50754" w14:textId="77777777" w:rsidTr="001F6090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54BEC520" w:rsidR="0034733F" w:rsidRPr="00BB53A6" w:rsidRDefault="00987926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EA63A" w14:textId="53286FCA" w:rsidR="0034733F" w:rsidRDefault="0034733F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7767FB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 </w:t>
            </w:r>
            <w:r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8h00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Dự Hội nghị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trực tuyến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Sơ kết 01 năm thực hiện việc tháo gỡ các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“điểm nghẽn”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trong triển khai Đề án 06 tại Công văn số452/TTg-KSTT ngày 23/5/2023 và đẩy mạnh kết nối, chia sẻ dữ liệu phục vụ phát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35"/>
                <w:szCs w:val="35"/>
                <w:shd w:val="clear" w:color="auto" w:fill="FFFFFF"/>
              </w:rPr>
              <w:t xml:space="preserve"> 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triển thương mại điện tử, chống thất thu thuế theo Chỉ thị số 18/CT-TTg ngày 30/5/2023</w:t>
            </w:r>
            <w:r w:rsidR="001F6090" w:rsidRPr="007767F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(240/T4 UB Tỉnh)</w:t>
            </w:r>
          </w:p>
          <w:p w14:paraId="5B545F58" w14:textId="1CA65695" w:rsidR="00987926" w:rsidRPr="00987926" w:rsidRDefault="00987926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98273" w14:textId="353E59CF" w:rsidR="001F6090" w:rsidRDefault="001F6090" w:rsidP="001F6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Tham gia Lớp đối tượng 2 tại tỉnh Thái Nguyên (đến hết ngày 21/6/2024)</w:t>
            </w:r>
          </w:p>
          <w:p w14:paraId="25C4405E" w14:textId="74E616BC" w:rsidR="001F6090" w:rsidRDefault="001F6090" w:rsidP="001F6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DA9ABE" w14:textId="5421F1D2" w:rsidR="0034733F" w:rsidRPr="00C03061" w:rsidRDefault="0034733F" w:rsidP="001F6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5019EF57" w:rsidR="0034733F" w:rsidRPr="001F6090" w:rsidRDefault="0034733F" w:rsidP="001F609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F60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8h00 </w:t>
            </w:r>
            <w:r w:rsidR="001F6090" w:rsidRPr="001F6090">
              <w:rPr>
                <w:rFonts w:asciiTheme="majorHAnsi" w:hAnsiTheme="majorHAnsi" w:cstheme="majorHAnsi"/>
                <w:sz w:val="24"/>
                <w:szCs w:val="24"/>
              </w:rPr>
              <w:t>dự Hội nghị công bố</w:t>
            </w:r>
            <w:r w:rsidR="001F60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F6090" w:rsidRPr="001F6090">
              <w:rPr>
                <w:rFonts w:asciiTheme="majorHAnsi" w:hAnsiTheme="majorHAnsi" w:cstheme="majorHAnsi"/>
                <w:sz w:val="24"/>
                <w:szCs w:val="24"/>
              </w:rPr>
              <w:t>các Quyết định về công tác cán bộ</w:t>
            </w:r>
            <w:r w:rsidR="001F6090" w:rsidRPr="001F60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F60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(1834/T3 HU)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6CF7A0C" w:rsidR="0034733F" w:rsidRPr="00D30C3F" w:rsidRDefault="0034733F" w:rsidP="00D407F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B4B78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40660" w:rsidRP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</w:t>
            </w:r>
            <w:r w:rsidR="002A5739" w:rsidRP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A40660" w:rsidRP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="002A5739" w:rsidRP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 họp các bộ phận chuẩn bị ch</w:t>
            </w:r>
            <w:r w:rsidR="00C123B1" w:rsidRP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 Hội nghị TXCT đại biểu HĐND tỉnh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09421F3A" w:rsidR="0034733F" w:rsidRPr="00A07B87" w:rsidRDefault="0034733F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33F" w:rsidRPr="002B283C" w14:paraId="4FA12F48" w14:textId="77777777" w:rsidTr="007767FB">
        <w:trPr>
          <w:trHeight w:val="10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043B5243" w:rsidR="0034733F" w:rsidRPr="006849A8" w:rsidRDefault="0034733F" w:rsidP="006849A8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8722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Chiều:</w:t>
            </w:r>
            <w:r w:rsidRPr="008722E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6849A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 Họp </w:t>
            </w:r>
            <w:r w:rsidR="006849A8" w:rsidRPr="0068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thống nhất phương ántriển khai thực hiện phân cấp cho huyện quản lý, tổchức thực hiện các chương </w:t>
            </w:r>
            <w:r w:rsidR="006849A8" w:rsidRPr="0068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trình MTQG giai đoạn 2024-2025</w:t>
            </w:r>
            <w:r w:rsidR="0068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(T2/UB)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1FFD66B" w14:textId="77777777" w:rsidR="001F6090" w:rsidRDefault="001F6090" w:rsidP="001F6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Tham gia Lớp đối tượng 2 tại tỉnh Thái Nguyên (đến hết ngày 21/6/2024)</w:t>
            </w:r>
          </w:p>
          <w:p w14:paraId="5B353F15" w14:textId="3B01DA8B" w:rsidR="0034733F" w:rsidRPr="00B83FC6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5780D1D8" w:rsidR="0034733F" w:rsidRPr="00B83FC6" w:rsidRDefault="0034733F" w:rsidP="0035719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5719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14h00 Họp </w:t>
            </w:r>
            <w:r w:rsidR="0035719A" w:rsidRPr="0068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thống nhất phương ántriển khai thực hiện phân cấp cho huyện quản lý, tổchức thực hiện các chương trình </w:t>
            </w:r>
            <w:r w:rsidR="0035719A" w:rsidRPr="0068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MTQG giai đoạn 2024-2025</w:t>
            </w:r>
            <w:r w:rsidR="00357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0F4A819B" w:rsidR="0034733F" w:rsidRPr="00B83FC6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Chiều: </w:t>
            </w:r>
            <w:r w:rsidR="00D145A3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34733F" w:rsidRPr="00D06EC5" w:rsidRDefault="0034733F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4733F" w:rsidRPr="002B283C" w14:paraId="39B13467" w14:textId="77777777" w:rsidTr="0040383D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34733F" w:rsidRPr="002B283C" w:rsidRDefault="0034733F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Ba</w:t>
            </w:r>
          </w:p>
          <w:p w14:paraId="0A3971F4" w14:textId="77684995" w:rsidR="0034733F" w:rsidRPr="002B283C" w:rsidRDefault="00987926" w:rsidP="009318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90219" w14:textId="6A93AFC7" w:rsidR="00EF28A8" w:rsidRPr="00EF28A8" w:rsidRDefault="0034733F" w:rsidP="00EF28A8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7767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F28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Dự kiến </w:t>
            </w:r>
            <w:r w:rsidR="00EF28A8" w:rsidRPr="00EF28A8">
              <w:rPr>
                <w:rFonts w:ascii="Times New Roman" w:hAnsi="Times New Roman"/>
              </w:rPr>
              <w:t>Họp Ban Chỉ đạo, Ban Tổ chức diễn tập phòng chống lụt bão,tìm kiếm cứu nạn năm 2024</w:t>
            </w:r>
            <w:r w:rsidR="00EF28A8">
              <w:rPr>
                <w:rFonts w:ascii="Times New Roman" w:hAnsi="Times New Roman"/>
                <w:lang w:val="en-US"/>
              </w:rPr>
              <w:t xml:space="preserve"> (</w:t>
            </w:r>
            <w:r w:rsidR="00D145A3">
              <w:rPr>
                <w:rFonts w:ascii="Times New Roman" w:hAnsi="Times New Roman"/>
                <w:lang w:val="en-US"/>
              </w:rPr>
              <w:t>BAN CHQS đề xuất) (T3/UB)</w:t>
            </w:r>
          </w:p>
          <w:p w14:paraId="089BD456" w14:textId="26C5D782" w:rsidR="0034733F" w:rsidRPr="00CE2D1A" w:rsidRDefault="0034733F" w:rsidP="00EF28A8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D2D96AC" w14:textId="49D89E4A" w:rsidR="0034733F" w:rsidRPr="00DA6B90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1C197" w14:textId="532602EA" w:rsidR="009D5363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57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9D536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7h30 </w:t>
            </w:r>
            <w:r w:rsidR="009D536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Đại hội Đại biểu LHTN VN huyện Tràng Định.</w:t>
            </w:r>
            <w:r w:rsidR="009D536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6E4A893F" w14:textId="5A318405" w:rsidR="0034733F" w:rsidRPr="00690154" w:rsidRDefault="0035719A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7767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họp Ban chỉ đạo thi tốt nghiệp THPT Quốc gia cấp huyện (Trường THPT Tràng Định đề xuất) (T2/UB)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20371CE7" w:rsidR="0034733F" w:rsidRPr="00BA2B26" w:rsidRDefault="0034733F" w:rsidP="008C1F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4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A2B26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xã tân Minh (thôn 5)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3DCC4C64" w:rsidR="0034733F" w:rsidRPr="00E65916" w:rsidRDefault="00E65916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8h00 Tổ đại biểu HĐND tỉnh tiếp xúc cử tri tại xã Tân Minh (ĐB Đặng Thị Kiều Vân</w:t>
            </w:r>
            <w:r w:rsidR="004264C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; Dương Ngọc Đại)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(171/KH/Nhà văn hóa thôn 5 xã Tân Minh)</w:t>
            </w:r>
          </w:p>
        </w:tc>
      </w:tr>
      <w:tr w:rsidR="0034733F" w:rsidRPr="002B283C" w14:paraId="58CCA9D6" w14:textId="77777777" w:rsidTr="001935FE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0E9861CB" w:rsidR="0034733F" w:rsidRPr="00B83FC6" w:rsidRDefault="0034733F" w:rsidP="0093185A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58CAFED9" w14:textId="383BC90F" w:rsidR="0034733F" w:rsidRPr="00B83FC6" w:rsidRDefault="0034733F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03FF1F78" w:rsidR="0034733F" w:rsidRPr="007767FB" w:rsidRDefault="0034733F" w:rsidP="007767FB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7767F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14h00 Đại hội Đại biểu LHTN VN huyện Tràng Định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8F48DF8" w:rsidR="0034733F" w:rsidRPr="0001025E" w:rsidRDefault="0034733F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9D536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14h00 Đại hội Đại biểu LHTN VN huyện Tràng Định.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34733F" w:rsidRPr="001F7325" w:rsidRDefault="0034733F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733F" w:rsidRPr="002B283C" w14:paraId="1154FCA2" w14:textId="77777777" w:rsidTr="00C15D83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1A41F3C9" w:rsidR="0034733F" w:rsidRPr="008F70C3" w:rsidRDefault="00987926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/6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77874275" w:rsidR="0034733F" w:rsidRPr="00432C49" w:rsidRDefault="0034733F" w:rsidP="008C1F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F28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6A1E23DF" w14:textId="503B18B2" w:rsidR="0034733F" w:rsidRPr="00524BE2" w:rsidRDefault="0034733F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4C756775" w:rsidR="0034733F" w:rsidRPr="00C64DA2" w:rsidRDefault="0034733F" w:rsidP="008C1FF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</w:t>
            </w:r>
            <w:r w:rsidR="009D536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9h00 Lễ Phát động gửi tiết kiệm chung tay vì người nghèo năm 2024.</w:t>
            </w:r>
            <w:r w:rsidR="00EF28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(239/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T3 Khối dân vận)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2F7586C3" w:rsidR="0034733F" w:rsidRPr="00BA2B26" w:rsidRDefault="0034733F" w:rsidP="00D407FC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  <w:lang w:val="en-US"/>
              </w:rPr>
            </w:pPr>
            <w:r w:rsidRPr="00A4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BA2B26" w:rsidRPr="00A4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 tác xã Kháng Chiến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AF140" w14:textId="77777777" w:rsidR="0034733F" w:rsidRDefault="00EA5275" w:rsidP="004264C3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</w:t>
            </w:r>
            <w:r w:rsidR="004264C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8h00 Tổ đại biểu HĐND tỉnh tiếp xúc cử tri chuyên đề về triển khai thực hiện công tác GPMB tại xã Hùng Việt (ĐB Giáp Thị Bắc; Đặng Thị Kiều Vân; Dương Ngọc Đại) </w:t>
            </w:r>
            <w:r w:rsidR="004264C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lastRenderedPageBreak/>
              <w:t>(171/KH/Hội trường UBND xã)</w:t>
            </w:r>
          </w:p>
          <w:p w14:paraId="23EB34CA" w14:textId="4143D572" w:rsidR="00EA5275" w:rsidRPr="00DA6B90" w:rsidRDefault="00EA5275" w:rsidP="00EA5275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  <w:r w:rsidRPr="00EA5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13h3</w:t>
            </w:r>
            <w:r w:rsidRPr="00EA5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0 Tổ đại biểu HĐND tỉnh tiếp xúc cử tri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thường kỳ </w:t>
            </w:r>
            <w:r w:rsidRPr="00EA5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xã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Kháng Chiến</w:t>
            </w:r>
            <w:r w:rsidRPr="00EA5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(ĐB Giáp Thị Bắc; Đặng Thị Kiều Vân; Dương Ngọc Đại) (171/KH/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Nhà Văn hóa</w:t>
            </w:r>
            <w:r w:rsidRPr="00EA5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xã)</w:t>
            </w:r>
          </w:p>
        </w:tc>
      </w:tr>
      <w:tr w:rsidR="0034733F" w:rsidRPr="002B283C" w14:paraId="720496D9" w14:textId="77777777" w:rsidTr="00C15D83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426782" w:rsidR="0034733F" w:rsidRPr="00B83FC6" w:rsidRDefault="0034733F" w:rsidP="009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491A41DF" w14:textId="7CF02F61" w:rsidR="0034733F" w:rsidRPr="00965739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31E3C0E5" w:rsidR="0034733F" w:rsidRPr="00A52A12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135C88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05B83AD5" w:rsidR="0034733F" w:rsidRPr="00BA2B26" w:rsidRDefault="0034733F" w:rsidP="00D407FC">
            <w:pPr>
              <w:jc w:val="both"/>
              <w:rPr>
                <w:rFonts w:asciiTheme="majorHAnsi" w:hAnsiTheme="majorHAnsi" w:cstheme="majorHAnsi"/>
                <w:color w:val="00B050"/>
                <w:sz w:val="24"/>
                <w:szCs w:val="24"/>
                <w:lang w:val="en-US"/>
              </w:rPr>
            </w:pPr>
            <w:r w:rsidRPr="00A40660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BA2B26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xã Hùng Việt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34733F" w:rsidRPr="00DA6B90" w:rsidRDefault="0034733F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733F" w:rsidRPr="002B283C" w14:paraId="0242C310" w14:textId="77777777" w:rsidTr="00EB2BF9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Năm</w:t>
            </w:r>
          </w:p>
          <w:p w14:paraId="0A2F75C0" w14:textId="42AF0B49" w:rsidR="0034733F" w:rsidRPr="008F70C3" w:rsidRDefault="00987926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E1957" w14:textId="3B4C0C83" w:rsidR="00D145A3" w:rsidRPr="00D145A3" w:rsidRDefault="0034733F" w:rsidP="00D145A3">
            <w:pPr>
              <w:pStyle w:val="Heading1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</w:pPr>
            <w:r w:rsidRPr="00D145A3">
              <w:rPr>
                <w:rFonts w:asciiTheme="majorHAnsi" w:hAnsiTheme="majorHAnsi" w:cstheme="majorHAnsi"/>
                <w:b w:val="0"/>
                <w:sz w:val="24"/>
                <w:szCs w:val="24"/>
              </w:rPr>
              <w:t>Sáng:</w:t>
            </w:r>
            <w:r w:rsidRPr="00D145A3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D145A3" w:rsidRPr="00D145A3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 xml:space="preserve">8h00 Dự kiến </w:t>
            </w:r>
            <w:r w:rsidR="00D145A3" w:rsidRPr="00D145A3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Họp phân tích kết quả thực hiện nhiệm vụ, chỉ số cải cách hành chính,</w:t>
            </w:r>
            <w:r w:rsidR="00D145A3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="00D145A3" w:rsidRPr="00D145A3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chỉ số hài lòng của người dân, tổ chức đối với sự phục vụ của cơ quan hành chínhnăm 2023 và phát động </w:t>
            </w:r>
            <w:r w:rsidR="00D145A3" w:rsidRPr="00D145A3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en-US"/>
              </w:rPr>
              <w:t>đợt thi đua cao điểm “Đẩy mạnh hiện đại hoá bộ phận một cửa trên địa bàn huyện Tràng Định”</w:t>
            </w:r>
            <w:r w:rsidR="00D145A3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en-US"/>
              </w:rPr>
              <w:t xml:space="preserve"> (T3/UB)</w:t>
            </w:r>
          </w:p>
          <w:p w14:paraId="59C4FF8B" w14:textId="2D14D9DF" w:rsidR="0034733F" w:rsidRPr="0034733F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758C6B8F" w14:textId="368EE550" w:rsidR="0034733F" w:rsidRPr="009A48EB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B21C9" w14:textId="405F34E9" w:rsidR="0035719A" w:rsidRPr="0035719A" w:rsidRDefault="0034733F" w:rsidP="0035719A">
            <w:pPr>
              <w:spacing w:line="320" w:lineRule="exact"/>
              <w:jc w:val="both"/>
              <w:outlineLvl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5719A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B26FED" w:rsidRPr="00357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5719A" w:rsidRPr="00357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Dự kiến </w:t>
            </w:r>
            <w:r w:rsidR="0035719A" w:rsidRPr="0035719A">
              <w:rPr>
                <w:rFonts w:asciiTheme="majorHAnsi" w:hAnsiTheme="majorHAnsi" w:cstheme="majorHAnsi"/>
                <w:sz w:val="24"/>
                <w:szCs w:val="24"/>
              </w:rPr>
              <w:t>Họp thống nhất các nội dung liên quan việc xây dựng kế hoạch tổ chức các hoạt động Kỷ niệm 74 năm Chiến thắng Biên giới Thu - Đông và Ngày giải phóng Thất Khê (10/10/1950 - 10/10/2024)</w:t>
            </w:r>
            <w:r w:rsidR="003571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(T2/UB</w:t>
            </w:r>
            <w:r w:rsidR="00AB4B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(phòng VH đề xuất)</w:t>
            </w:r>
          </w:p>
          <w:p w14:paraId="270734A7" w14:textId="60BBC540" w:rsidR="0034733F" w:rsidRPr="00A620D4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108A0863" w:rsidR="0034733F" w:rsidRPr="00C2461C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066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C2461C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TXCT tại xã Tân Yê</w:t>
            </w:r>
            <w:r w:rsidR="00A40660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 w:rsidR="00C2461C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(thôn Nà Đeng)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0941C77" w:rsidR="0034733F" w:rsidRPr="006D1136" w:rsidRDefault="0034733F" w:rsidP="003E25D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4733F" w:rsidRPr="002B283C" w14:paraId="5D518A1B" w14:textId="77777777" w:rsidTr="00700E14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1C0FD3F0" w:rsidR="0034733F" w:rsidRPr="00D145A3" w:rsidRDefault="0034733F" w:rsidP="008C1FF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vMerge/>
            <w:tcBorders>
              <w:left w:val="nil"/>
              <w:right w:val="single" w:sz="8" w:space="0" w:color="auto"/>
            </w:tcBorders>
          </w:tcPr>
          <w:p w14:paraId="5BFAE58C" w14:textId="33CAEA55" w:rsidR="0034733F" w:rsidRPr="00B83FC6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5582D5C2" w:rsidR="0034733F" w:rsidRPr="00D145A3" w:rsidRDefault="0034733F" w:rsidP="008C1FF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3D3E7" w14:textId="77777777" w:rsidR="0034733F" w:rsidRPr="00A40660" w:rsidRDefault="0034733F" w:rsidP="008C1FF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0660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2461C" w:rsidRPr="00A40660">
              <w:rPr>
                <w:rFonts w:asciiTheme="majorHAnsi" w:hAnsiTheme="majorHAnsi" w:cstheme="majorHAnsi"/>
                <w:sz w:val="24"/>
                <w:szCs w:val="24"/>
              </w:rPr>
              <w:t>dự sinh ho</w:t>
            </w:r>
            <w:r w:rsidR="00C2461C" w:rsidRPr="00A4066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ạt chi bộ Khuổi Sả, Khánh Long</w:t>
            </w:r>
          </w:p>
          <w:p w14:paraId="4E11A67F" w14:textId="12EBE102" w:rsidR="00C2461C" w:rsidRPr="00C2461C" w:rsidRDefault="00C2461C" w:rsidP="008C1FF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34733F" w:rsidRPr="00D06EC5" w:rsidRDefault="0034733F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4733F" w:rsidRPr="002B283C" w14:paraId="3E7C13AF" w14:textId="77777777" w:rsidTr="00700E14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34733F" w:rsidRPr="002B283C" w:rsidRDefault="0034733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49008FD2" w:rsidR="0034733F" w:rsidRPr="008F70C3" w:rsidRDefault="00987926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34733F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4733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EBA68" w14:textId="77777777" w:rsidR="0034733F" w:rsidRDefault="0034733F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Sáng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Họp TTHU</w:t>
            </w:r>
          </w:p>
          <w:p w14:paraId="68C6FF1A" w14:textId="443A5F86" w:rsidR="00710566" w:rsidRPr="00AD7B8B" w:rsidRDefault="00710566" w:rsidP="008C1FF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- 9h30 Lễ khởi công khu công nghiệp VSIP Lạng Sơn (xã Hồ Sơn, huyện Hữu Lũng)</w:t>
            </w:r>
            <w:bookmarkStart w:id="0" w:name="_GoBack"/>
            <w:bookmarkEnd w:id="0"/>
          </w:p>
        </w:tc>
        <w:tc>
          <w:tcPr>
            <w:tcW w:w="3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3926D5" w:rsidR="0034733F" w:rsidRPr="00CA1A76" w:rsidRDefault="0034733F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5E96F" w:rsidR="0034733F" w:rsidRPr="00B83FC6" w:rsidRDefault="0034733F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34733F" w:rsidRPr="00FE2893" w:rsidRDefault="0034733F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77DF6002" w:rsidR="0034733F" w:rsidRPr="0001025E" w:rsidRDefault="0034733F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9CF181B" w:rsidR="00A620D4" w:rsidRPr="00F33BB2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3185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25568F1B" w:rsidR="00A620D4" w:rsidRPr="00B83FC6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E1E80" w14:textId="77777777" w:rsidR="00A620D4" w:rsidRDefault="00A620D4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6139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36139C"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27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  <w:p w14:paraId="2CB681E9" w14:textId="77777777" w:rsidR="00987926" w:rsidRDefault="00987926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0E73D19" w14:textId="695D4D4C" w:rsidR="00987926" w:rsidRPr="00987926" w:rsidRDefault="00987926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- 20h00 </w:t>
            </w:r>
            <w:r w:rsidRPr="00987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Dự gặp mặt Kỷ niệm 99</w:t>
            </w:r>
            <w:r w:rsidR="00776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87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năm Ngày Báo chí cách mạng Việt Nam (21/6/1925 -21/6/2024);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87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trao Giải báo chí tỉnh Lạng Sơn lần thứ IV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87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năm 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(241/TT Hội nghị tỉnh)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4FC68B00" w:rsidR="00A620D4" w:rsidRPr="00D145A3" w:rsidRDefault="00A620D4" w:rsidP="00D145A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D145A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Tiếp xúc cử tri tại xã Tân Tiến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</w:p>
          <w:p w14:paraId="1F31731C" w14:textId="73D79855" w:rsidR="00971E34" w:rsidRPr="00C57D4B" w:rsidRDefault="00987926" w:rsidP="001B0896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15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6571731B" w:rsidR="00971E34" w:rsidRPr="00135C88" w:rsidRDefault="00135C88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971E34" w:rsidRPr="00724614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135C88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</w:pPr>
            <w:r w:rsidRPr="00135C88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N</w:t>
            </w:r>
            <w:r w:rsidRPr="00135C88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  <w:t>gh</w:t>
            </w:r>
            <w:r w:rsidRPr="00135C88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54F47BE8" w:rsidR="00971E34" w:rsidRPr="00C57D4B" w:rsidRDefault="00987926" w:rsidP="00D407FC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16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0FC08186" w:rsidR="00971E34" w:rsidRPr="0001025E" w:rsidRDefault="00971E34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735A17B" w:rsidR="00971E34" w:rsidRPr="0001025E" w:rsidRDefault="003E25D9" w:rsidP="00D407F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Chiều: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56A6" w14:textId="77777777" w:rsidR="00511F6C" w:rsidRDefault="00511F6C" w:rsidP="00836407">
      <w:pPr>
        <w:spacing w:after="0" w:line="240" w:lineRule="auto"/>
      </w:pPr>
      <w:r>
        <w:separator/>
      </w:r>
    </w:p>
  </w:endnote>
  <w:endnote w:type="continuationSeparator" w:id="0">
    <w:p w14:paraId="2D0D447D" w14:textId="77777777" w:rsidR="00511F6C" w:rsidRDefault="00511F6C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0951" w14:textId="77777777" w:rsidR="00511F6C" w:rsidRDefault="00511F6C" w:rsidP="00836407">
      <w:pPr>
        <w:spacing w:after="0" w:line="240" w:lineRule="auto"/>
      </w:pPr>
      <w:r>
        <w:separator/>
      </w:r>
    </w:p>
  </w:footnote>
  <w:footnote w:type="continuationSeparator" w:id="0">
    <w:p w14:paraId="219BC560" w14:textId="77777777" w:rsidR="00511F6C" w:rsidRDefault="00511F6C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01E79"/>
    <w:rsid w:val="00003836"/>
    <w:rsid w:val="00003BEC"/>
    <w:rsid w:val="00003F51"/>
    <w:rsid w:val="000044ED"/>
    <w:rsid w:val="0001025E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6779"/>
    <w:rsid w:val="0003790E"/>
    <w:rsid w:val="00037EB9"/>
    <w:rsid w:val="00041466"/>
    <w:rsid w:val="000430DE"/>
    <w:rsid w:val="0004617F"/>
    <w:rsid w:val="00047601"/>
    <w:rsid w:val="00054E8B"/>
    <w:rsid w:val="000551E4"/>
    <w:rsid w:val="0005737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5C8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648C2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0A2"/>
    <w:rsid w:val="001A251D"/>
    <w:rsid w:val="001A384E"/>
    <w:rsid w:val="001A38A4"/>
    <w:rsid w:val="001A4E69"/>
    <w:rsid w:val="001A6EF0"/>
    <w:rsid w:val="001B0896"/>
    <w:rsid w:val="001B2A1F"/>
    <w:rsid w:val="001B5CC0"/>
    <w:rsid w:val="001C083D"/>
    <w:rsid w:val="001C151F"/>
    <w:rsid w:val="001C2649"/>
    <w:rsid w:val="001C3B61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090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71F8"/>
    <w:rsid w:val="002976B1"/>
    <w:rsid w:val="002976B8"/>
    <w:rsid w:val="00297E92"/>
    <w:rsid w:val="002A1690"/>
    <w:rsid w:val="002A21AB"/>
    <w:rsid w:val="002A4BDD"/>
    <w:rsid w:val="002A531A"/>
    <w:rsid w:val="002A5739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4733F"/>
    <w:rsid w:val="00352289"/>
    <w:rsid w:val="00353088"/>
    <w:rsid w:val="00353E74"/>
    <w:rsid w:val="0035719A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5D9"/>
    <w:rsid w:val="003E2C67"/>
    <w:rsid w:val="003E663E"/>
    <w:rsid w:val="003F1055"/>
    <w:rsid w:val="003F4727"/>
    <w:rsid w:val="004075FA"/>
    <w:rsid w:val="00411713"/>
    <w:rsid w:val="00412C23"/>
    <w:rsid w:val="00416316"/>
    <w:rsid w:val="00422F78"/>
    <w:rsid w:val="0042323C"/>
    <w:rsid w:val="004264C3"/>
    <w:rsid w:val="00432C49"/>
    <w:rsid w:val="00433C1B"/>
    <w:rsid w:val="00437F89"/>
    <w:rsid w:val="00440FFE"/>
    <w:rsid w:val="00441392"/>
    <w:rsid w:val="00441EC8"/>
    <w:rsid w:val="00443FD3"/>
    <w:rsid w:val="00444CED"/>
    <w:rsid w:val="00447A50"/>
    <w:rsid w:val="0045155F"/>
    <w:rsid w:val="00453229"/>
    <w:rsid w:val="0045445D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727F"/>
    <w:rsid w:val="004C7467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1F6C"/>
    <w:rsid w:val="00515C3C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531D"/>
    <w:rsid w:val="00585FB7"/>
    <w:rsid w:val="00586565"/>
    <w:rsid w:val="00586D81"/>
    <w:rsid w:val="00592475"/>
    <w:rsid w:val="00597DDA"/>
    <w:rsid w:val="005A15F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49A8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A52"/>
    <w:rsid w:val="006A1D88"/>
    <w:rsid w:val="006A30C5"/>
    <w:rsid w:val="006A36F5"/>
    <w:rsid w:val="006A63A8"/>
    <w:rsid w:val="006A63C8"/>
    <w:rsid w:val="006A7F00"/>
    <w:rsid w:val="006B0A89"/>
    <w:rsid w:val="006B2CAF"/>
    <w:rsid w:val="006B30F4"/>
    <w:rsid w:val="006B66AA"/>
    <w:rsid w:val="006C33EC"/>
    <w:rsid w:val="006C4D3E"/>
    <w:rsid w:val="006C7F37"/>
    <w:rsid w:val="006D042A"/>
    <w:rsid w:val="006D0D7C"/>
    <w:rsid w:val="006D1136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6F7BA0"/>
    <w:rsid w:val="00700A13"/>
    <w:rsid w:val="00700E43"/>
    <w:rsid w:val="00701398"/>
    <w:rsid w:val="00702204"/>
    <w:rsid w:val="00706BE2"/>
    <w:rsid w:val="00707192"/>
    <w:rsid w:val="00710566"/>
    <w:rsid w:val="00711293"/>
    <w:rsid w:val="00712179"/>
    <w:rsid w:val="007141E0"/>
    <w:rsid w:val="00715755"/>
    <w:rsid w:val="00724614"/>
    <w:rsid w:val="00725D9E"/>
    <w:rsid w:val="00730658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67FB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B78C0"/>
    <w:rsid w:val="007C1DB0"/>
    <w:rsid w:val="007C2092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69C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518"/>
    <w:rsid w:val="00855A32"/>
    <w:rsid w:val="0085601A"/>
    <w:rsid w:val="008572E7"/>
    <w:rsid w:val="00860C2D"/>
    <w:rsid w:val="00863F67"/>
    <w:rsid w:val="00863F70"/>
    <w:rsid w:val="00867979"/>
    <w:rsid w:val="00870E31"/>
    <w:rsid w:val="008722E6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1FFA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232"/>
    <w:rsid w:val="0092041B"/>
    <w:rsid w:val="009211A8"/>
    <w:rsid w:val="0092329B"/>
    <w:rsid w:val="009248A9"/>
    <w:rsid w:val="0093000D"/>
    <w:rsid w:val="009314D6"/>
    <w:rsid w:val="0093185A"/>
    <w:rsid w:val="009338F4"/>
    <w:rsid w:val="0093603A"/>
    <w:rsid w:val="00937F61"/>
    <w:rsid w:val="00941A87"/>
    <w:rsid w:val="009451E6"/>
    <w:rsid w:val="0094615C"/>
    <w:rsid w:val="009505EF"/>
    <w:rsid w:val="009508AA"/>
    <w:rsid w:val="00950AFA"/>
    <w:rsid w:val="00953354"/>
    <w:rsid w:val="009534AD"/>
    <w:rsid w:val="00955936"/>
    <w:rsid w:val="009560AD"/>
    <w:rsid w:val="0095724F"/>
    <w:rsid w:val="00957AB2"/>
    <w:rsid w:val="00960462"/>
    <w:rsid w:val="00963DF4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87926"/>
    <w:rsid w:val="0099012A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57E2"/>
    <w:rsid w:val="009D1516"/>
    <w:rsid w:val="009D22AE"/>
    <w:rsid w:val="009D2EB9"/>
    <w:rsid w:val="009D3626"/>
    <w:rsid w:val="009D3D56"/>
    <w:rsid w:val="009D4EC1"/>
    <w:rsid w:val="009D5363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0660"/>
    <w:rsid w:val="00A410B4"/>
    <w:rsid w:val="00A43613"/>
    <w:rsid w:val="00A437B1"/>
    <w:rsid w:val="00A47877"/>
    <w:rsid w:val="00A5079A"/>
    <w:rsid w:val="00A51A4A"/>
    <w:rsid w:val="00A51ADA"/>
    <w:rsid w:val="00A52A12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4B78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75D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05871"/>
    <w:rsid w:val="00B110FA"/>
    <w:rsid w:val="00B11C1F"/>
    <w:rsid w:val="00B12595"/>
    <w:rsid w:val="00B1413F"/>
    <w:rsid w:val="00B248A1"/>
    <w:rsid w:val="00B25CAB"/>
    <w:rsid w:val="00B26FED"/>
    <w:rsid w:val="00B309E7"/>
    <w:rsid w:val="00B326F3"/>
    <w:rsid w:val="00B35124"/>
    <w:rsid w:val="00B37B08"/>
    <w:rsid w:val="00B43BA0"/>
    <w:rsid w:val="00B503D5"/>
    <w:rsid w:val="00B510DD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B70"/>
    <w:rsid w:val="00B76C19"/>
    <w:rsid w:val="00B815F6"/>
    <w:rsid w:val="00B817EF"/>
    <w:rsid w:val="00B82069"/>
    <w:rsid w:val="00B83F82"/>
    <w:rsid w:val="00B83FC6"/>
    <w:rsid w:val="00B84C29"/>
    <w:rsid w:val="00B85BB5"/>
    <w:rsid w:val="00B90459"/>
    <w:rsid w:val="00B90AEE"/>
    <w:rsid w:val="00B93A45"/>
    <w:rsid w:val="00BA0191"/>
    <w:rsid w:val="00BA2B26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F077A"/>
    <w:rsid w:val="00BF30BE"/>
    <w:rsid w:val="00BF358F"/>
    <w:rsid w:val="00BF64B9"/>
    <w:rsid w:val="00BF682E"/>
    <w:rsid w:val="00BF6A8F"/>
    <w:rsid w:val="00C00A78"/>
    <w:rsid w:val="00C03061"/>
    <w:rsid w:val="00C07F63"/>
    <w:rsid w:val="00C123B1"/>
    <w:rsid w:val="00C13711"/>
    <w:rsid w:val="00C147D2"/>
    <w:rsid w:val="00C14F9D"/>
    <w:rsid w:val="00C16C4F"/>
    <w:rsid w:val="00C20ABE"/>
    <w:rsid w:val="00C2452A"/>
    <w:rsid w:val="00C2461C"/>
    <w:rsid w:val="00C25E83"/>
    <w:rsid w:val="00C27514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45A3"/>
    <w:rsid w:val="00D16A09"/>
    <w:rsid w:val="00D21489"/>
    <w:rsid w:val="00D22791"/>
    <w:rsid w:val="00D25F2B"/>
    <w:rsid w:val="00D278CE"/>
    <w:rsid w:val="00D30AB8"/>
    <w:rsid w:val="00D30C3F"/>
    <w:rsid w:val="00D324E1"/>
    <w:rsid w:val="00D3440C"/>
    <w:rsid w:val="00D34AD6"/>
    <w:rsid w:val="00D357D9"/>
    <w:rsid w:val="00D36976"/>
    <w:rsid w:val="00D36AB8"/>
    <w:rsid w:val="00D407FC"/>
    <w:rsid w:val="00D4129C"/>
    <w:rsid w:val="00D43045"/>
    <w:rsid w:val="00D44D2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6A54"/>
    <w:rsid w:val="00DC7108"/>
    <w:rsid w:val="00DD0106"/>
    <w:rsid w:val="00DD0A33"/>
    <w:rsid w:val="00DD1E7E"/>
    <w:rsid w:val="00DD3628"/>
    <w:rsid w:val="00DD410B"/>
    <w:rsid w:val="00DD59B9"/>
    <w:rsid w:val="00DE13BF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35DEA"/>
    <w:rsid w:val="00E40F3F"/>
    <w:rsid w:val="00E41B07"/>
    <w:rsid w:val="00E44474"/>
    <w:rsid w:val="00E44E39"/>
    <w:rsid w:val="00E47215"/>
    <w:rsid w:val="00E4783B"/>
    <w:rsid w:val="00E539CC"/>
    <w:rsid w:val="00E54B53"/>
    <w:rsid w:val="00E55452"/>
    <w:rsid w:val="00E55BD6"/>
    <w:rsid w:val="00E57548"/>
    <w:rsid w:val="00E6079A"/>
    <w:rsid w:val="00E62340"/>
    <w:rsid w:val="00E65916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275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D10E6"/>
    <w:rsid w:val="00ED2DA9"/>
    <w:rsid w:val="00ED38F0"/>
    <w:rsid w:val="00ED440C"/>
    <w:rsid w:val="00EE142C"/>
    <w:rsid w:val="00EE34C7"/>
    <w:rsid w:val="00EE568D"/>
    <w:rsid w:val="00EE76D2"/>
    <w:rsid w:val="00EF28A8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3BB2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503F8F34-31BC-4FB1-87DA-CE84239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E601-6093-4F75-8F01-8E6D4C3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7</cp:revision>
  <cp:lastPrinted>2024-06-04T00:16:00Z</cp:lastPrinted>
  <dcterms:created xsi:type="dcterms:W3CDTF">2024-06-10T00:41:00Z</dcterms:created>
  <dcterms:modified xsi:type="dcterms:W3CDTF">2024-06-10T04:32:00Z</dcterms:modified>
</cp:coreProperties>
</file>